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26E1" w14:textId="2F11C372" w:rsidR="000374A9" w:rsidRPr="000374A9" w:rsidRDefault="000374A9" w:rsidP="000374A9">
      <w:pPr>
        <w:rPr>
          <w:b/>
          <w:sz w:val="22"/>
          <w:szCs w:val="22"/>
        </w:rPr>
      </w:pPr>
    </w:p>
    <w:p w14:paraId="5151B0E9" w14:textId="3218653A" w:rsidR="00FA7D14" w:rsidRDefault="003B0CF2" w:rsidP="00FA7D14">
      <w:pPr>
        <w:rPr>
          <w:rFonts w:ascii="Times New Roman" w:eastAsia="Times New Roman" w:hAnsi="Times New Roman" w:cs="Times New Roman"/>
        </w:rPr>
      </w:pPr>
      <w:r w:rsidRPr="003B0CF2">
        <w:rPr>
          <w:rFonts w:ascii="Aptos" w:hAnsi="Aptos" w:cs="Times New Roman"/>
          <w:b/>
          <w:bCs/>
          <w:i/>
          <w:iCs/>
        </w:rPr>
        <w:t> </w:t>
      </w:r>
      <w:r w:rsidR="00FA7D14">
        <w:rPr>
          <w:rFonts w:ascii="Times New Roman" w:eastAsia="Times New Roman" w:hAnsi="Times New Roman" w:cs="Times New Roman"/>
        </w:rPr>
        <w:t>Roma, 18 dicembre 2025 </w:t>
      </w:r>
      <w:r w:rsidR="00FA7D14">
        <w:rPr>
          <w:rFonts w:ascii="Times New Roman" w:eastAsia="Times New Roman" w:hAnsi="Times New Roman" w:cs="Times New Roman"/>
        </w:rPr>
        <w:tab/>
      </w:r>
      <w:r w:rsidR="00FA7D14">
        <w:rPr>
          <w:rFonts w:ascii="Times New Roman" w:eastAsia="Times New Roman" w:hAnsi="Times New Roman" w:cs="Times New Roman"/>
        </w:rPr>
        <w:tab/>
      </w:r>
      <w:r w:rsidR="00FA7D14">
        <w:rPr>
          <w:rFonts w:ascii="Times New Roman" w:eastAsia="Times New Roman" w:hAnsi="Times New Roman" w:cs="Times New Roman"/>
        </w:rPr>
        <w:tab/>
      </w:r>
      <w:r w:rsidR="00FA7D14">
        <w:rPr>
          <w:rFonts w:ascii="Times New Roman" w:eastAsia="Times New Roman" w:hAnsi="Times New Roman" w:cs="Times New Roman"/>
        </w:rPr>
        <w:tab/>
      </w:r>
      <w:r w:rsidR="00FA7D14">
        <w:rPr>
          <w:rFonts w:ascii="Times New Roman" w:eastAsia="Times New Roman" w:hAnsi="Times New Roman" w:cs="Times New Roman"/>
        </w:rPr>
        <w:tab/>
      </w:r>
      <w:r w:rsidR="00FA7D14">
        <w:rPr>
          <w:rFonts w:ascii="Times New Roman" w:eastAsia="Times New Roman" w:hAnsi="Times New Roman" w:cs="Times New Roman"/>
        </w:rPr>
        <w:tab/>
      </w:r>
      <w:r w:rsidR="00FA7D14">
        <w:rPr>
          <w:rFonts w:ascii="Times New Roman" w:eastAsia="Times New Roman" w:hAnsi="Times New Roman" w:cs="Times New Roman"/>
        </w:rPr>
        <w:tab/>
        <w:t>      Comunicato stampa </w:t>
      </w:r>
    </w:p>
    <w:p w14:paraId="45FCAF8A" w14:textId="77777777" w:rsidR="00FA7D14" w:rsidRDefault="00FA7D14" w:rsidP="00FA7D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09E71342" w14:textId="77777777" w:rsidR="00FA7D14" w:rsidRDefault="00FA7D14" w:rsidP="00FA7D1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Biodiversità</w:t>
      </w:r>
    </w:p>
    <w:p w14:paraId="00DA8174" w14:textId="77777777" w:rsidR="00FA7D14" w:rsidRDefault="00FA7D14" w:rsidP="00FA7D14">
      <w:pPr>
        <w:jc w:val="center"/>
        <w:rPr>
          <w:rFonts w:ascii="Times New Roman" w:eastAsia="Times New Roman" w:hAnsi="Times New Roman" w:cs="Times New Roman"/>
        </w:rPr>
      </w:pPr>
    </w:p>
    <w:p w14:paraId="59A4F4A3" w14:textId="77777777" w:rsidR="00FA7D14" w:rsidRDefault="00FA7D14" w:rsidP="00FA7D1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Life SEA.NET. Fare rete per proteggere il mare</w:t>
      </w:r>
    </w:p>
    <w:p w14:paraId="284A0595" w14:textId="77777777" w:rsidR="00FA7D14" w:rsidRDefault="00FA7D14" w:rsidP="00FA7D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3AC4E771" w14:textId="77777777" w:rsidR="00FA7D14" w:rsidRDefault="00FA7D14" w:rsidP="00FA7D1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Si è concluso il progetto europeo Life Sea.Net. Presentato un toolkit con strumenti operativi che supportano gli enti gestori nella governance delle aree protette.</w:t>
      </w:r>
    </w:p>
    <w:p w14:paraId="2EEFAA60" w14:textId="77777777" w:rsidR="00FA7D14" w:rsidRDefault="00FA7D14" w:rsidP="00FA7D1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La rete Natura 2000 marina italiana può diventare il pilastro di una nuova governance del mare: efficace, coordinata, partecipata e capace di proteggere biodiversità, rafforzare economie locali e rendere le comunità costiere più resilienti.</w:t>
      </w:r>
    </w:p>
    <w:p w14:paraId="3B67F3ED" w14:textId="77777777" w:rsidR="00FA7D14" w:rsidRDefault="00FA7D14" w:rsidP="00FA7D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259D4783" w14:textId="36F619E3" w:rsidR="00FA7D14" w:rsidRPr="003B0CF2" w:rsidRDefault="00FA7D14" w:rsidP="00FA7D14">
      <w:pPr>
        <w:jc w:val="center"/>
        <w:rPr>
          <w:rFonts w:ascii="Aptos" w:hAnsi="Aptos" w:cs="Times New Roman"/>
        </w:rPr>
      </w:pPr>
      <w:r w:rsidRPr="00FA7D14">
        <w:rPr>
          <w:rFonts w:ascii="Aptos" w:hAnsi="Aptos" w:cs="Times New Roman"/>
          <w:b/>
          <w:bCs/>
          <w:i/>
          <w:iCs/>
        </w:rPr>
        <w:t xml:space="preserve"> </w:t>
      </w:r>
      <w:hyperlink r:id="rId6" w:anchor="1SYScRJ3c8MWPjsQv2LVsA" w:history="1">
        <w:r w:rsidRPr="003B0CF2">
          <w:rPr>
            <w:rStyle w:val="Collegamentoipertestuale"/>
            <w:rFonts w:ascii="Aptos" w:hAnsi="Aptos" w:cs="Times New Roman"/>
            <w:b/>
            <w:bCs/>
            <w:i/>
            <w:iCs/>
          </w:rPr>
          <w:t>Ca</w:t>
        </w:r>
        <w:r w:rsidRPr="003B0CF2">
          <w:rPr>
            <w:rStyle w:val="Collegamentoipertestuale"/>
            <w:rFonts w:ascii="Aptos" w:hAnsi="Aptos" w:cs="Times New Roman"/>
            <w:b/>
            <w:bCs/>
            <w:i/>
            <w:iCs/>
          </w:rPr>
          <w:t>rtella Video</w:t>
        </w:r>
      </w:hyperlink>
    </w:p>
    <w:p w14:paraId="1E0596C7" w14:textId="1DCD2217" w:rsidR="00FA7D14" w:rsidRDefault="00FA7D14" w:rsidP="00FA7D14">
      <w:pPr>
        <w:jc w:val="center"/>
        <w:rPr>
          <w:rFonts w:ascii="Times New Roman" w:eastAsia="Times New Roman" w:hAnsi="Times New Roman" w:cs="Times New Roman"/>
        </w:rPr>
      </w:pPr>
    </w:p>
    <w:p w14:paraId="681C0FF9" w14:textId="0CCF02EE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Proteggere le specie marine migratrici come la foca monaca e la tartaruga marina Caretta 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caretta</w:t>
      </w:r>
      <w:proofErr w:type="spellEnd"/>
      <w:r>
        <w:rPr>
          <w:rFonts w:ascii="Times New Roman" w:eastAsia="Times New Roman" w:hAnsi="Times New Roman" w:cs="Times New Roman"/>
          <w:b/>
          <w:bCs/>
        </w:rPr>
        <w:t> </w:t>
      </w:r>
      <w:r>
        <w:rPr>
          <w:rFonts w:ascii="Times New Roman" w:eastAsia="Times New Roman" w:hAnsi="Times New Roman" w:cs="Times New Roman"/>
        </w:rPr>
        <w:t>ora sarà più facile</w:t>
      </w:r>
      <w:r>
        <w:rPr>
          <w:rFonts w:ascii="Times New Roman" w:eastAsia="Times New Roman" w:hAnsi="Times New Roman" w:cs="Times New Roman"/>
          <w:b/>
          <w:bCs/>
        </w:rPr>
        <w:t> </w:t>
      </w:r>
      <w:r>
        <w:rPr>
          <w:rFonts w:ascii="Times New Roman" w:eastAsia="Times New Roman" w:hAnsi="Times New Roman" w:cs="Times New Roman"/>
        </w:rPr>
        <w:t>grazie alla cooperazione tra stati transfrontalieri, così come identificare le </w:t>
      </w:r>
      <w:r>
        <w:rPr>
          <w:rFonts w:ascii="Times New Roman" w:eastAsia="Times New Roman" w:hAnsi="Times New Roman" w:cs="Times New Roman"/>
          <w:b/>
          <w:bCs/>
        </w:rPr>
        <w:t>soluzioni gestionali più adeguate</w:t>
      </w:r>
      <w:r>
        <w:rPr>
          <w:rFonts w:ascii="Times New Roman" w:eastAsia="Times New Roman" w:hAnsi="Times New Roman" w:cs="Times New Roman"/>
        </w:rPr>
        <w:t> e definire </w:t>
      </w:r>
      <w:r>
        <w:rPr>
          <w:rFonts w:ascii="Times New Roman" w:eastAsia="Times New Roman" w:hAnsi="Times New Roman" w:cs="Times New Roman"/>
          <w:b/>
          <w:bCs/>
        </w:rPr>
        <w:t>misure idonee per la conservazione di habitat o specie sensibili</w:t>
      </w:r>
      <w:r>
        <w:rPr>
          <w:rFonts w:ascii="Times New Roman" w:eastAsia="Times New Roman" w:hAnsi="Times New Roman" w:cs="Times New Roman"/>
        </w:rPr>
        <w:t>, di concerto con le amministrazioni nazionali ed internazionali.​ Ma non solo. Sarà più facile anche promuovere percorsi partecipati e condivisi per poter ampliare la Rete Natura 2000, straordinario strumento di tutela della biodiversità, e motore per la Blue Economy. Le aree protette, infatti, stabilizzano gli ecosistemi, garantendo risorse naturali per attività sostenibili e stimolando innovazione, economia circolare e gestione integrata del territorio.  </w:t>
      </w:r>
    </w:p>
    <w:p w14:paraId="179DBDF8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198D85E6" w14:textId="3777D1AE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è concluso ieri con una conferenza a Roma, il progetto europeo Life SEA.NET, che ha riunito partner, istituzioni nazionali e regionali, enti gestori, ricercatori e rappresentanti del settore della pesca per tracciare un bilancio dei quattro anni di lavoro dedicati alla rete dei siti marini Natura 2000. Il progetto, </w:t>
      </w:r>
      <w:r w:rsidR="00821B31">
        <w:rPr>
          <w:rFonts w:ascii="Times New Roman" w:eastAsia="Times New Roman" w:hAnsi="Times New Roman" w:cs="Times New Roman"/>
        </w:rPr>
        <w:t xml:space="preserve">cofinanziato dal Programma LIFE dell’UE e </w:t>
      </w:r>
      <w:r>
        <w:rPr>
          <w:rFonts w:ascii="Times New Roman" w:eastAsia="Times New Roman" w:hAnsi="Times New Roman" w:cs="Times New Roman"/>
        </w:rPr>
        <w:t>coordinato da Legambiente con il coinvolgimento del MASE, di ISPRA, delle</w:t>
      </w:r>
      <w:r>
        <w:rPr>
          <w:rFonts w:ascii="Times New Roman" w:eastAsia="Times New Roman" w:hAnsi="Times New Roman" w:cs="Times New Roman"/>
          <w:b/>
          <w:bCs/>
        </w:rPr>
        <w:t> </w:t>
      </w:r>
      <w:r>
        <w:rPr>
          <w:rFonts w:ascii="Times New Roman" w:eastAsia="Times New Roman" w:hAnsi="Times New Roman" w:cs="Times New Roman"/>
        </w:rPr>
        <w:t>Aree marine protette Isole Egadi, Punta Campanella e Regno di Nettuno; il Parco Nazionale Arcipelago Toscano e il Parco Nazionale del Cilento, Vallo di Diano e Alburni; la Regione Basilicata e la Regione Campania e di </w:t>
      </w:r>
      <w:proofErr w:type="spellStart"/>
      <w:r>
        <w:rPr>
          <w:rFonts w:ascii="Times New Roman" w:eastAsia="Times New Roman" w:hAnsi="Times New Roman" w:cs="Times New Roman"/>
        </w:rPr>
        <w:t>Federpesca</w:t>
      </w:r>
      <w:proofErr w:type="spellEnd"/>
      <w:r>
        <w:rPr>
          <w:rFonts w:ascii="Times New Roman" w:eastAsia="Times New Roman" w:hAnsi="Times New Roman" w:cs="Times New Roman"/>
        </w:rPr>
        <w:t>, era nato con due obiettivi chiari: migliorare la governance dei siti marini Natura 2000 e far conoscere in modo più diffuso e comprensibile il valore della Rete, ancora troppo spesso percepita come un vincolo astratto anziché come un’opportunità per la tutela della biodiversità e per uno sviluppo sostenibile del mare. </w:t>
      </w:r>
    </w:p>
    <w:p w14:paraId="655681DF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</w:p>
    <w:p w14:paraId="42C1467E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Durante l’evento è stato presentato il </w:t>
      </w:r>
      <w:r>
        <w:rPr>
          <w:rFonts w:ascii="Times New Roman" w:eastAsia="Times New Roman" w:hAnsi="Times New Roman" w:cs="Times New Roman"/>
          <w:b/>
          <w:bCs/>
        </w:rPr>
        <w:t>Toolkit Governance</w:t>
      </w:r>
      <w:r>
        <w:rPr>
          <w:rFonts w:ascii="Times New Roman" w:eastAsia="Times New Roman" w:hAnsi="Times New Roman" w:cs="Times New Roman"/>
        </w:rPr>
        <w:t>, frutto del confronto con enti gestori e tecnici: un pacchetto che integra protocolli di monitoraggio standardizzati, una guida pratica per la definizione di obiettivi e misure di conservazione, un manuale operativo per la Valutazione di Incidenza in mare, un Libro Bianco dedicato ai siti in mare aperto e una roadmap per la gestione coordinata dei siti transfrontalieri. Un insieme di strumenti costruiti per semplificare il lavoro quotidiano, evitare procedure incoerenti e fornire basi tecniche condivise da parchi nazionali, AMP e amministrazioni regionali. Uno strumento concretamente apprezzato dagli operatori delle aree marine protette e parchi nazionali pur a fronte di carenze strutturali ancora presenti: risorse insufficienti, coordinamento non sempre efficace, dati disomogenei e necessità di un maggiore allineamento tra livelli istituzionali. </w:t>
      </w:r>
    </w:p>
    <w:p w14:paraId="0BBA1AA1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</w:p>
    <w:p w14:paraId="7D9C5792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Accanto al rafforzamento della governance, SEA.NET ha centrato in pieno anche l’obiettivo di migliorare la conoscenza e la percezione della rete Natura 2000 marina, grazie ai numerosi eventi, campagne, attività di educazione ambientale, </w:t>
      </w:r>
      <w:proofErr w:type="spellStart"/>
      <w:r>
        <w:rPr>
          <w:rFonts w:ascii="Times New Roman" w:eastAsia="Times New Roman" w:hAnsi="Times New Roman" w:cs="Times New Roman"/>
        </w:rPr>
        <w:t>citizen</w:t>
      </w:r>
      <w:proofErr w:type="spellEnd"/>
      <w:r>
        <w:rPr>
          <w:rFonts w:ascii="Times New Roman" w:eastAsia="Times New Roman" w:hAnsi="Times New Roman" w:cs="Times New Roman"/>
        </w:rPr>
        <w:t> science e materiali informativi dedicati. </w:t>
      </w:r>
    </w:p>
    <w:p w14:paraId="71D86802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dialogo e il coinvolgimento degli operatori economici, in primis i pescatori, sono stati requisiti fondamentali per rendere la pesca professionale un modello di sviluppo sostenibile basato sull'uso responsabile delle risorse marine per la crescita economica. I molti momenti partecipativi organizzati dal Life SEA.NET hanno portato ad un risultato concreto: circa </w:t>
      </w:r>
      <w:r>
        <w:rPr>
          <w:rFonts w:ascii="Times New Roman" w:eastAsia="Times New Roman" w:hAnsi="Times New Roman" w:cs="Times New Roman"/>
          <w:b/>
          <w:bCs/>
        </w:rPr>
        <w:t>400 pescatori hanno sottoscritto un codice di condotta per la pesca responsabile nei siti Natura 2000, </w:t>
      </w:r>
      <w:r>
        <w:rPr>
          <w:rFonts w:ascii="Times New Roman" w:eastAsia="Times New Roman" w:hAnsi="Times New Roman" w:cs="Times New Roman"/>
        </w:rPr>
        <w:t>adottando pratiche più sostenibili e coerenti con gli obiettivi di conservazione. Un segnale tangibile di come informazione, dialogo e strumenti adeguati possano produrre cambiamenti effettivi. </w:t>
      </w:r>
    </w:p>
    <w:p w14:paraId="161B0B31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</w:p>
    <w:p w14:paraId="26891106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"Con Life SEA.NET non abbiamo prodotto l’ennesimo documento da scaffale, ma strumenti che semplificano davvero il lavoro quotidiano degli enti gestori – ha dichiarato </w:t>
      </w:r>
      <w:r>
        <w:rPr>
          <w:rFonts w:ascii="Times New Roman" w:eastAsia="Times New Roman" w:hAnsi="Times New Roman" w:cs="Times New Roman"/>
          <w:b/>
          <w:bCs/>
        </w:rPr>
        <w:t>Antonio Nicoletti</w:t>
      </w:r>
      <w:r>
        <w:rPr>
          <w:rFonts w:ascii="Times New Roman" w:eastAsia="Times New Roman" w:hAnsi="Times New Roman" w:cs="Times New Roman"/>
        </w:rPr>
        <w:t>, responsabile nazionale aree protette di Legambiente – i prodotti contenuti nel Toolkit sono nati dal confronto con chi, ogni giorno, deve tenere insieme tutela della biodiversità, pressioni locali e aspettative delle comunità. Ora la sfida è continuare a promuovere gli strumenti, i percorsi partecipati e le metodologie condivise sviluppate dal progetto LIFE SEA.NET, lavorare con gli stakeholder per un’economia blu basata sulla tutela degli ecosistemi e impegnarsi per il completamento della Rete Natura 2000, condizione irrinunciabile per raggiungere gli obiettivi UE del 2030 e proteggere efficacemente ecosistemi chiave”. </w:t>
      </w:r>
    </w:p>
    <w:p w14:paraId="735ECBD3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</w:p>
    <w:p w14:paraId="16BE43C8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"Questo progetto – ha sottolineato il </w:t>
      </w:r>
      <w:r>
        <w:rPr>
          <w:rFonts w:ascii="Times New Roman" w:eastAsia="Times New Roman" w:hAnsi="Times New Roman" w:cs="Times New Roman"/>
          <w:b/>
          <w:bCs/>
        </w:rPr>
        <w:t>Direttore Generale della Direzione Tutela della biodiversità e del mare del MASE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b/>
          <w:bCs/>
        </w:rPr>
        <w:t>Ammiraglio Francesco Tomas</w:t>
      </w:r>
      <w:r>
        <w:rPr>
          <w:rFonts w:ascii="Times New Roman" w:eastAsia="Times New Roman" w:hAnsi="Times New Roman" w:cs="Times New Roman"/>
        </w:rPr>
        <w:t> – che ha visto il MASE in prima linea ha mostrato che, quando istituzioni, enti gestori, mondo scientifico e operatori economici lavorano insieme, è possibile rafforzare in modo concreto la rete dei siti marini Natura 2000. Ma il percorso non è concluso: dobbiamo ancora completare la rete, rendere più omogenee le procedure, consolidare i monitoraggi e garantire strumenti e risorse stabili. Come Ministero c’è la volontà di proseguire - insieme a Legambiente - su questa strada, facendo dei risultati di SEA.NET la base di un lavoro di lungo periodo, perché la tutela del mare richiede continuità". </w:t>
      </w:r>
    </w:p>
    <w:p w14:paraId="1C3B1950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</w:p>
    <w:p w14:paraId="2246DABF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 la chiusura del progetto non si è chiusa quindi la sfida lanciata da Life SEA.NET: trasformare la Rete Natura 2000 marina in una infrastruttura ecologica realmente operativa, riconosciuta dalle comunità costiere, sostenuta dagli operatori del mare e accompagnata da una governance moderna, coordinata e stabile. Il lavoro avviato ha già prodotto strumenti e risultati concreti; ora occorre renderli parte integrante delle politiche e delle pratiche di gestione, affinché il mare italiano possa contare su una tutela all’altezza della sua straordinaria biodiversità. </w:t>
      </w:r>
    </w:p>
    <w:p w14:paraId="13428C35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</w:p>
    <w:p w14:paraId="7B099748" w14:textId="77777777" w:rsidR="00FA7D14" w:rsidRDefault="00FA7D14" w:rsidP="00FA7D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“Occorre potenziare il monitoraggio nei siti della rete Natura 2000 a mare – ha concluso </w:t>
      </w:r>
      <w:r w:rsidRPr="00FA7D14">
        <w:rPr>
          <w:rFonts w:ascii="Times New Roman" w:eastAsia="Times New Roman" w:hAnsi="Times New Roman" w:cs="Times New Roman"/>
          <w:b/>
          <w:bCs/>
        </w:rPr>
        <w:t>Gabriele La Mesa di ISPRA</w:t>
      </w:r>
      <w:r>
        <w:rPr>
          <w:rFonts w:ascii="Times New Roman" w:eastAsia="Times New Roman" w:hAnsi="Times New Roman" w:cs="Times New Roman"/>
        </w:rPr>
        <w:t xml:space="preserve"> - risolvendo tutta una serie di criticità emerse anche durante il progetto stesso, perché la disponibilità di dati scientifici esaustivi per ogni sito è alla base sia dell’identificazione delle corrette misure di conservazione che della valutazione della loro efficacia”. </w:t>
      </w:r>
    </w:p>
    <w:p w14:paraId="05DCD124" w14:textId="39FD90AE" w:rsidR="003B0CF2" w:rsidRPr="003B0CF2" w:rsidRDefault="003B0CF2" w:rsidP="003B0CF2">
      <w:pPr>
        <w:rPr>
          <w:rFonts w:ascii="Aptos" w:hAnsi="Aptos" w:cs="Times New Roman"/>
          <w:b/>
          <w:bCs/>
          <w:i/>
          <w:iCs/>
        </w:rPr>
      </w:pPr>
    </w:p>
    <w:p w14:paraId="2C8955B3" w14:textId="77777777" w:rsidR="00FA7D14" w:rsidRPr="00FA7D14" w:rsidRDefault="003B0CF2" w:rsidP="00FA7D14">
      <w:pPr>
        <w:rPr>
          <w:rFonts w:ascii="Times New Roman" w:eastAsia="Times New Roman" w:hAnsi="Times New Roman" w:cs="Times New Roman"/>
          <w:lang w:val="en-US"/>
        </w:rPr>
      </w:pPr>
      <w:r w:rsidRPr="00FA7D14">
        <w:rPr>
          <w:rFonts w:ascii="Aptos" w:hAnsi="Aptos" w:cs="Times New Roman"/>
          <w:lang w:val="en-US"/>
        </w:rPr>
        <w:t> </w:t>
      </w:r>
      <w:r w:rsidR="00FA7D14" w:rsidRPr="00FA7D14">
        <w:rPr>
          <w:rFonts w:ascii="Times New Roman" w:eastAsia="Times New Roman" w:hAnsi="Times New Roman" w:cs="Times New Roman"/>
          <w:b/>
          <w:bCs/>
          <w:lang w:val="en-US"/>
        </w:rPr>
        <w:t>Life SEA.NET: </w:t>
      </w:r>
      <w:hyperlink r:id="rId7">
        <w:r w:rsidR="00FA7D14" w:rsidRPr="00FA7D14">
          <w:rPr>
            <w:rFonts w:ascii="Times New Roman" w:eastAsia="Times New Roman" w:hAnsi="Times New Roman" w:cs="Times New Roman"/>
            <w:b/>
            <w:bCs/>
            <w:color w:val="467886"/>
            <w:u w:val="single"/>
            <w:lang w:val="en-US"/>
          </w:rPr>
          <w:t>https://lifeseanet.eu/</w:t>
        </w:r>
      </w:hyperlink>
      <w:r w:rsidR="00FA7D14" w:rsidRPr="00FA7D14">
        <w:rPr>
          <w:rFonts w:ascii="Times New Roman" w:eastAsia="Times New Roman" w:hAnsi="Times New Roman" w:cs="Times New Roman"/>
          <w:lang w:val="en-US"/>
        </w:rPr>
        <w:t> </w:t>
      </w:r>
    </w:p>
    <w:p w14:paraId="2BA97C8F" w14:textId="77777777" w:rsidR="00FA7D14" w:rsidRPr="00FA7D14" w:rsidRDefault="00FA7D14" w:rsidP="00FA7D14">
      <w:pPr>
        <w:rPr>
          <w:rFonts w:ascii="Times New Roman" w:eastAsia="Times New Roman" w:hAnsi="Times New Roman" w:cs="Times New Roman"/>
          <w:lang w:val="en-US"/>
        </w:rPr>
      </w:pPr>
      <w:r w:rsidRPr="00FA7D14">
        <w:rPr>
          <w:rFonts w:ascii="Times New Roman" w:eastAsia="Times New Roman" w:hAnsi="Times New Roman" w:cs="Times New Roman"/>
          <w:lang w:val="en-US"/>
        </w:rPr>
        <w:t> </w:t>
      </w:r>
    </w:p>
    <w:p w14:paraId="201C4D32" w14:textId="77777777" w:rsidR="00FA7D14" w:rsidRPr="00FA7D14" w:rsidRDefault="00FA7D14" w:rsidP="00FA7D14">
      <w:pPr>
        <w:rPr>
          <w:rFonts w:ascii="Times New Roman" w:eastAsia="Times New Roman" w:hAnsi="Times New Roman" w:cs="Times New Roman"/>
          <w:lang w:val="it"/>
        </w:rPr>
      </w:pPr>
      <w:r w:rsidRPr="00FA7D14">
        <w:rPr>
          <w:rFonts w:ascii="Times New Roman" w:eastAsia="Times New Roman" w:hAnsi="Times New Roman" w:cs="Times New Roman"/>
          <w:b/>
          <w:bCs/>
          <w:lang w:val="it"/>
        </w:rPr>
        <w:t>L’ufficio stampa di Life SEA.NET </w:t>
      </w:r>
      <w:r w:rsidRPr="00FA7D14">
        <w:rPr>
          <w:rFonts w:ascii="Times New Roman" w:eastAsia="Times New Roman" w:hAnsi="Times New Roman" w:cs="Times New Roman"/>
          <w:lang w:val="it"/>
        </w:rPr>
        <w:t> </w:t>
      </w:r>
    </w:p>
    <w:p w14:paraId="78CA496F" w14:textId="77777777" w:rsidR="00FA7D14" w:rsidRPr="00FA7D14" w:rsidRDefault="00FA7D14" w:rsidP="00FA7D14">
      <w:pPr>
        <w:rPr>
          <w:rFonts w:ascii="Times New Roman" w:eastAsia="Times New Roman" w:hAnsi="Times New Roman" w:cs="Times New Roman"/>
          <w:lang w:val="it"/>
        </w:rPr>
      </w:pPr>
      <w:r w:rsidRPr="00FA7D14">
        <w:rPr>
          <w:rFonts w:ascii="Times New Roman" w:eastAsia="Times New Roman" w:hAnsi="Times New Roman" w:cs="Times New Roman"/>
          <w:b/>
          <w:bCs/>
          <w:lang w:val="it"/>
        </w:rPr>
        <w:t>Raffaele Cava, </w:t>
      </w:r>
      <w:hyperlink r:id="rId8">
        <w:r w:rsidRPr="00FA7D14">
          <w:rPr>
            <w:rFonts w:ascii="Times New Roman" w:eastAsia="Times New Roman" w:hAnsi="Times New Roman" w:cs="Times New Roman"/>
            <w:b/>
            <w:bCs/>
            <w:color w:val="467886"/>
            <w:u w:val="single"/>
            <w:lang w:val="it"/>
          </w:rPr>
          <w:t>r.cava@legambiente.it</w:t>
        </w:r>
      </w:hyperlink>
      <w:r w:rsidRPr="00FA7D14">
        <w:rPr>
          <w:rFonts w:ascii="Times New Roman" w:eastAsia="Times New Roman" w:hAnsi="Times New Roman" w:cs="Times New Roman"/>
          <w:b/>
          <w:bCs/>
          <w:lang w:val="it"/>
        </w:rPr>
        <w:t> </w:t>
      </w:r>
      <w:r w:rsidRPr="00FA7D14">
        <w:rPr>
          <w:rFonts w:ascii="Times New Roman" w:eastAsia="Times New Roman" w:hAnsi="Times New Roman" w:cs="Times New Roman"/>
          <w:lang w:val="it"/>
        </w:rPr>
        <w:t> </w:t>
      </w:r>
    </w:p>
    <w:p w14:paraId="0370121A" w14:textId="77777777" w:rsidR="00FA7D14" w:rsidRPr="00FA7D14" w:rsidRDefault="00FA7D14" w:rsidP="00FA7D14">
      <w:pPr>
        <w:rPr>
          <w:rFonts w:ascii="Times New Roman" w:eastAsia="Times New Roman" w:hAnsi="Times New Roman" w:cs="Times New Roman"/>
          <w:lang w:val="it"/>
        </w:rPr>
      </w:pPr>
      <w:r w:rsidRPr="00FA7D14">
        <w:rPr>
          <w:rFonts w:ascii="Times New Roman" w:eastAsia="Times New Roman" w:hAnsi="Times New Roman" w:cs="Times New Roman"/>
          <w:b/>
          <w:bCs/>
          <w:lang w:val="it"/>
        </w:rPr>
        <w:t>+39 339 7973875</w:t>
      </w:r>
      <w:r w:rsidRPr="00FA7D14">
        <w:rPr>
          <w:rFonts w:ascii="Times New Roman" w:eastAsia="Times New Roman" w:hAnsi="Times New Roman" w:cs="Times New Roman"/>
          <w:lang w:val="it"/>
        </w:rPr>
        <w:t> </w:t>
      </w:r>
    </w:p>
    <w:p w14:paraId="7D731CC6" w14:textId="77777777" w:rsidR="00FA7D14" w:rsidRPr="00FA7D14" w:rsidRDefault="00FA7D14" w:rsidP="00FA7D14">
      <w:pPr>
        <w:rPr>
          <w:rFonts w:ascii="Times New Roman" w:eastAsia="Times New Roman" w:hAnsi="Times New Roman" w:cs="Times New Roman"/>
          <w:lang w:val="it"/>
        </w:rPr>
      </w:pPr>
      <w:r w:rsidRPr="00FA7D14">
        <w:rPr>
          <w:rFonts w:ascii="Times New Roman" w:eastAsia="Times New Roman" w:hAnsi="Times New Roman" w:cs="Times New Roman"/>
          <w:lang w:val="it"/>
        </w:rPr>
        <w:t> </w:t>
      </w:r>
    </w:p>
    <w:p w14:paraId="4423D403" w14:textId="77777777" w:rsidR="00FA7D14" w:rsidRPr="00FA7D14" w:rsidRDefault="00FA7D14" w:rsidP="00FA7D14">
      <w:pPr>
        <w:rPr>
          <w:rFonts w:ascii="Times New Roman" w:eastAsia="Times New Roman" w:hAnsi="Times New Roman" w:cs="Times New Roman"/>
          <w:lang w:val="it"/>
        </w:rPr>
      </w:pPr>
      <w:r w:rsidRPr="00FA7D14">
        <w:rPr>
          <w:rFonts w:ascii="Times New Roman" w:eastAsia="Times New Roman" w:hAnsi="Times New Roman" w:cs="Times New Roman"/>
          <w:lang w:val="it"/>
        </w:rPr>
        <w:lastRenderedPageBreak/>
        <w:t> </w:t>
      </w:r>
    </w:p>
    <w:p w14:paraId="03500A47" w14:textId="2D894923" w:rsidR="003B0CF2" w:rsidRPr="003B0CF2" w:rsidRDefault="003B0CF2" w:rsidP="003B0CF2">
      <w:pPr>
        <w:rPr>
          <w:rFonts w:ascii="Aptos" w:hAnsi="Aptos" w:cs="Times New Roman"/>
        </w:rPr>
      </w:pPr>
    </w:p>
    <w:p w14:paraId="39D8FA79" w14:textId="77777777" w:rsidR="003B0CF2" w:rsidRPr="00FD45DE" w:rsidRDefault="003B0CF2" w:rsidP="003B0CF2">
      <w:pPr>
        <w:rPr>
          <w:rFonts w:ascii="Times New Roman" w:hAnsi="Times New Roman" w:cs="Times New Roman"/>
        </w:rPr>
      </w:pPr>
      <w:r w:rsidRPr="00FD45DE">
        <w:rPr>
          <w:rFonts w:ascii="Times New Roman" w:hAnsi="Times New Roman" w:cs="Times New Roman"/>
        </w:rPr>
        <w:t> </w:t>
      </w:r>
    </w:p>
    <w:p w14:paraId="540DC33B" w14:textId="77777777" w:rsidR="003B0CF2" w:rsidRPr="00FD45DE" w:rsidRDefault="003B0CF2" w:rsidP="003B0CF2">
      <w:pPr>
        <w:rPr>
          <w:rFonts w:ascii="Times New Roman" w:hAnsi="Times New Roman" w:cs="Times New Roman"/>
        </w:rPr>
      </w:pPr>
      <w:r w:rsidRPr="00FD45DE">
        <w:rPr>
          <w:rFonts w:ascii="Times New Roman" w:hAnsi="Times New Roman" w:cs="Times New Roman"/>
        </w:rPr>
        <w:t> </w:t>
      </w:r>
    </w:p>
    <w:p w14:paraId="2F078F04" w14:textId="77777777" w:rsidR="003B0CF2" w:rsidRPr="00FD45DE" w:rsidRDefault="003B0CF2" w:rsidP="003B0CF2">
      <w:pPr>
        <w:rPr>
          <w:rFonts w:ascii="Times New Roman" w:hAnsi="Times New Roman" w:cs="Times New Roman"/>
        </w:rPr>
      </w:pPr>
    </w:p>
    <w:p w14:paraId="1BF8D9E8" w14:textId="6162177A" w:rsidR="00F56C48" w:rsidRDefault="00F56C48">
      <w:pPr>
        <w:jc w:val="both"/>
      </w:pPr>
    </w:p>
    <w:sectPr w:rsidR="00F56C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851" w:bottom="1134" w:left="85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3574" w14:textId="77777777" w:rsidR="001E128F" w:rsidRDefault="001E128F">
      <w:r>
        <w:separator/>
      </w:r>
    </w:p>
  </w:endnote>
  <w:endnote w:type="continuationSeparator" w:id="0">
    <w:p w14:paraId="591FD6FE" w14:textId="77777777" w:rsidR="001E128F" w:rsidRDefault="001E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6426" w14:textId="77777777" w:rsidR="008000B0" w:rsidRDefault="008000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1566" w14:textId="77777777" w:rsidR="008000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32"/>
      </w:tabs>
      <w:ind w:right="-150"/>
      <w:jc w:val="center"/>
      <w:rPr>
        <w:rFonts w:ascii="Arial" w:eastAsia="Arial" w:hAnsi="Arial" w:cs="Arial"/>
        <w:b/>
        <w:color w:val="0F539F"/>
        <w:sz w:val="16"/>
        <w:szCs w:val="16"/>
      </w:rPr>
    </w:pPr>
    <w:r>
      <w:rPr>
        <w:rFonts w:ascii="Arial" w:eastAsia="Arial" w:hAnsi="Arial" w:cs="Arial"/>
        <w:b/>
        <w:noProof/>
        <w:color w:val="0F539F"/>
        <w:sz w:val="16"/>
        <w:szCs w:val="16"/>
      </w:rPr>
      <w:drawing>
        <wp:inline distT="0" distB="0" distL="0" distR="0" wp14:anchorId="20694CC0" wp14:editId="02B21BD3">
          <wp:extent cx="6461125" cy="319405"/>
          <wp:effectExtent l="0" t="0" r="0" b="0"/>
          <wp:docPr id="2" name="image3.png" descr="SM548:Users:imac:Documents:Clienti:Legambiente:Life Sea.net:istituzionale:foglio intestato:immagini:piedino_rev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SM548:Users:imac:Documents:Clienti:Legambiente:Life Sea.net:istituzionale:foglio intestato:immagini:piedino_rev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1125" cy="319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2383" w14:textId="77777777" w:rsidR="008000B0" w:rsidRDefault="008000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6B8A" w14:textId="77777777" w:rsidR="001E128F" w:rsidRDefault="001E128F">
      <w:r>
        <w:separator/>
      </w:r>
    </w:p>
  </w:footnote>
  <w:footnote w:type="continuationSeparator" w:id="0">
    <w:p w14:paraId="6E43D0C6" w14:textId="77777777" w:rsidR="001E128F" w:rsidRDefault="001E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B280" w14:textId="77777777" w:rsidR="008000B0" w:rsidRDefault="008000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CDDE" w14:textId="77777777" w:rsidR="008000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767171"/>
        <w:sz w:val="18"/>
        <w:szCs w:val="18"/>
      </w:rPr>
      <w:drawing>
        <wp:inline distT="0" distB="0" distL="0" distR="0" wp14:anchorId="0A93ADC6" wp14:editId="5E7E40F2">
          <wp:extent cx="1281198" cy="963818"/>
          <wp:effectExtent l="0" t="0" r="0" b="0"/>
          <wp:docPr id="1" name="image1.png" descr="SM548:Users:imac:Documents:Clienti:Legambiente:Life Sea.net:istituzionale:foglio intestato:immagini:logo_rev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M548:Users:imac:Documents:Clienti:Legambiente:Life Sea.net:istituzionale:foglio intestato:immagini:logo_rev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198" cy="963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  <w:color w:val="767171"/>
        <w:sz w:val="18"/>
        <w:szCs w:val="18"/>
      </w:rPr>
      <w:drawing>
        <wp:inline distT="0" distB="0" distL="0" distR="0" wp14:anchorId="2C8E70B6" wp14:editId="6F86C610">
          <wp:extent cx="1558194" cy="172504"/>
          <wp:effectExtent l="0" t="0" r="0" b="0"/>
          <wp:docPr id="3" name="image2.png" descr="SM548:Users:imac:Documents:Clienti:Legambiente:Life Sea.net:istituzionale:foglio intestato:immagini:soc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M548:Users:imac:Documents:Clienti:Legambiente:Life Sea.net:istituzionale:foglio intestato:immagini:soci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8194" cy="1725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995E" w14:textId="77777777" w:rsidR="008000B0" w:rsidRDefault="008000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B0"/>
    <w:rsid w:val="000374A9"/>
    <w:rsid w:val="00190CCB"/>
    <w:rsid w:val="001E01D7"/>
    <w:rsid w:val="001E128F"/>
    <w:rsid w:val="002F215D"/>
    <w:rsid w:val="0039295B"/>
    <w:rsid w:val="003B0CF2"/>
    <w:rsid w:val="005E457F"/>
    <w:rsid w:val="008000B0"/>
    <w:rsid w:val="00821B31"/>
    <w:rsid w:val="008A7B40"/>
    <w:rsid w:val="009908ED"/>
    <w:rsid w:val="00F47103"/>
    <w:rsid w:val="00F56C48"/>
    <w:rsid w:val="00FA7D14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6FCB"/>
  <w15:docId w15:val="{8ADBDC2C-7259-449C-A8FA-C0F972E6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374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0C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7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cava@legambiente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ifeseanet.eu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ga.nz/folder/fcdnwb7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cava</dc:creator>
  <cp:lastModifiedBy>antonio cava</cp:lastModifiedBy>
  <cp:revision>5</cp:revision>
  <dcterms:created xsi:type="dcterms:W3CDTF">2025-12-18T09:57:00Z</dcterms:created>
  <dcterms:modified xsi:type="dcterms:W3CDTF">2025-12-18T11:05:00Z</dcterms:modified>
</cp:coreProperties>
</file>